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pPr>
      <w:r>
        <w:rPr>
          <w:rFonts w:ascii="Times New Roman;serif" w:hAnsi="Times New Roman;serif"/>
          <w:b/>
          <w:color w:val="000000"/>
          <w:sz w:val="18"/>
        </w:rPr>
        <w:t>Washington, D.C. 20549</w:t>
      </w:r>
      <w:r>
        <w:rPr>
          <w:color w:val="000000"/>
        </w:rPr>
        <w:t>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July 24, 2026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BANDWIDTH INC.</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8"/>
        <w:gridCol w:w="663"/>
        <w:gridCol w:w="109"/>
        <w:gridCol w:w="109"/>
        <w:gridCol w:w="109"/>
        <w:gridCol w:w="353"/>
        <w:gridCol w:w="353"/>
        <w:gridCol w:w="358"/>
        <w:gridCol w:w="109"/>
        <w:gridCol w:w="109"/>
        <w:gridCol w:w="109"/>
        <w:gridCol w:w="432"/>
        <w:gridCol w:w="432"/>
        <w:gridCol w:w="620"/>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56-2242657</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2230 Bandmate Way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Raleigh, NC 27607</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(800) 808-5150</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501" w:type="dxa"/>
        <w:jc w:val="center"/>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25, 2026, Bandwidth Inc. (the “Company”) entered into a third amendment (the “Credit Agreement Amendment”) to the credit agreement (as amended, the “Credit Agreement”) among the Company, as borrower, certain subsidiaries of the Company, as guarantors, the lenders from time to time party thereto, and Bank of America, N.A., as administrative agent, swingline lender and letters of credit issuer, with BofA Securities, Inc. and Wells Fargo Securities, LLC as Joint Lead Arrangers and Joint Bookrunners. Effective as of July 25, 2026, the Credit Agreement was amended to increase the aggregate amount of certain restricted payments the Company is permitted to make in any fiscal year from $20.0 million to $40.0 million, or if greater, 20% of TTM consolidated EBITDA, subject to the Company maintaining a pro forma consolidated senior secured leverage ratio at least 0.50 to 1.00 inside the maximum then-applicable consolidated senior secured leverage ratio covenant.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the terms of any loans under the Credit Agreement are unmodified and remain in full force and effect.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summary of the Credit Agreement Amendment is qualified in its entirety by reference to the full text of the Third Amendment to Credit Agreement, dated as of July 25, 2026, which will be filed as an exhibit to the Company’s Quarterly Report on Form 10-Q for the quarter ending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2026, the Company issued a press release reporting its financial results for the second quarter ended June 30, 2026. A copy of the press release is furnished as Exhibit 99.1 to this Current Report on Form 8-K.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2.02, including Exhibit 99.1, shall not be deemed “filed” for purposes of Section 18 of the Securities Exchange Act of 1934, as amended, or otherwise subject to the liabilities of that section, nor shall it be deemed incorporated by reference into any filing under the Securities Act of 1933, as amended,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24, 2026, R. Brandon Asbill notified the Company of his decision to retire from his role as General Counsel and Secretary, effective December 31, 2026. Mr. Asbill’s decision to retire was not the result of any disagreement with the Company on any matter relating to its operations, policies, or practices.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deeply grateful for Mr. Asbill’s dedicated service and the many contributions he has made throughout his tenure. The Board of Directors and management team thank Mr. Asbill for his leadership, counsel, and commitment to the Company, and extend their sincere best wishes to him in his retirement. To ensure a smooth and orderly transition, Mr. Asbill will continue to serve in his current role through his retirement date and will support the Company in the transition of his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47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357"/>
        <w:gridCol w:w="2357"/>
        <w:gridCol w:w="335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q220268kexh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Inc. press release, dated July 29,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File (the cover page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528" w:type="dxa"/>
        <w:jc w:val="left"/>
        <w:tblInd w:w="0" w:type="dxa"/>
        <w:tblLayout w:type="fixed"/>
        <w:tblCellMar>
          <w:top w:w="28" w:type="dxa"/>
          <w:left w:w="28" w:type="dxa"/>
          <w:bottom w:w="28" w:type="dxa"/>
          <w:right w:w="28" w:type="dxa"/>
        </w:tblCellMar>
      </w:tblPr>
      <w:tblGrid>
        <w:gridCol w:w="618"/>
        <w:gridCol w:w="544"/>
        <w:gridCol w:w="547"/>
        <w:gridCol w:w="270"/>
        <w:gridCol w:w="270"/>
        <w:gridCol w:w="270"/>
        <w:gridCol w:w="583"/>
        <w:gridCol w:w="583"/>
        <w:gridCol w:w="84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Daryl E. Raiford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Daryl E. Raiford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color w:val="000000"/>
        </w:rPr>
        <w:t> </w:t>
      </w:r>
      <w:r>
        <w:rPr/>
        <w:drawing>
          <wp:inline distT="0" distB="0" distL="0" distR="0">
            <wp:extent cx="1885950"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85950" cy="3905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6"/>
        </w:rPr>
      </w:pPr>
      <w:r>
        <w:rPr>
          <w:rFonts w:ascii="Times New Roman;serif" w:hAnsi="Times New Roman;serif"/>
          <w:b/>
          <w:color w:val="000000"/>
          <w:sz w:val="26"/>
        </w:rPr>
        <w:t>Bandwidth Announces Second Quarter 2026 Financial Results</w:t>
      </w:r>
    </w:p>
    <w:p>
      <w:pPr>
        <w:pStyle w:val="TextBody"/>
        <w:bidi w:val="0"/>
        <w:spacing w:lineRule="auto" w:line="288" w:before="0" w:after="80"/>
        <w:jc w:val="center"/>
        <w:rPr>
          <w:rFonts w:ascii="Times New Roman;serif" w:hAnsi="Times New Roman;serif"/>
          <w:b w:val="false"/>
          <w:i/>
          <w:color w:val="000000"/>
          <w:sz w:val="20"/>
        </w:rPr>
      </w:pPr>
      <w:r>
        <w:rPr>
          <w:rFonts w:ascii="Times New Roman;serif" w:hAnsi="Times New Roman;serif"/>
          <w:b w:val="false"/>
          <w:i/>
          <w:color w:val="000000"/>
          <w:sz w:val="20"/>
        </w:rPr>
        <w:t xml:space="preserve">Revenue of $220 million, up 22% year-over-year, and Adjusted EBITDA of $28 million, up 27% year-over-year, </w:t>
      </w:r>
    </w:p>
    <w:p>
      <w:pPr>
        <w:pStyle w:val="TextBody"/>
        <w:bidi w:val="0"/>
        <w:spacing w:lineRule="auto" w:line="288" w:before="0" w:after="80"/>
        <w:jc w:val="center"/>
        <w:rPr>
          <w:rFonts w:ascii="Times New Roman;serif" w:hAnsi="Times New Roman;serif"/>
          <w:b w:val="false"/>
          <w:i/>
          <w:color w:val="000000"/>
          <w:sz w:val="20"/>
        </w:rPr>
      </w:pPr>
      <w:r>
        <w:rPr>
          <w:rFonts w:ascii="Times New Roman;serif" w:hAnsi="Times New Roman;serif"/>
          <w:b w:val="false"/>
          <w:i/>
          <w:color w:val="000000"/>
          <w:sz w:val="20"/>
        </w:rPr>
        <w:t>with record Adjusted EBITDA margin of 18%</w:t>
      </w:r>
    </w:p>
    <w:p>
      <w:pPr>
        <w:pStyle w:val="TextBody"/>
        <w:bidi w:val="0"/>
        <w:spacing w:lineRule="auto" w:line="288" w:before="0" w:after="80"/>
        <w:jc w:val="center"/>
        <w:rPr>
          <w:rFonts w:ascii="Times New Roman;serif" w:hAnsi="Times New Roman;serif"/>
          <w:b w:val="false"/>
          <w:i/>
          <w:color w:val="000000"/>
          <w:sz w:val="20"/>
        </w:rPr>
      </w:pPr>
      <w:r>
        <w:rPr>
          <w:rFonts w:ascii="Times New Roman;serif" w:hAnsi="Times New Roman;serif"/>
          <w:b w:val="false"/>
          <w:i/>
          <w:color w:val="000000"/>
          <w:sz w:val="20"/>
        </w:rPr>
        <w:t>Raising full-year 2026 outlook on sustained demand strength and accelerating business model fundamentals</w:t>
      </w:r>
    </w:p>
    <w:p>
      <w:pPr>
        <w:pStyle w:val="TextBody"/>
        <w:bidi w:val="0"/>
        <w:spacing w:lineRule="auto" w:line="288" w:before="0" w:after="80"/>
        <w:jc w:val="center"/>
        <w:rPr>
          <w:rFonts w:ascii="Times New Roman;serif" w:hAnsi="Times New Roman;serif"/>
          <w:b w:val="false"/>
          <w:i/>
          <w:color w:val="000000"/>
          <w:sz w:val="20"/>
        </w:rPr>
      </w:pPr>
      <w:r>
        <w:rPr>
          <w:rFonts w:ascii="Times New Roman;serif" w:hAnsi="Times New Roman;serif"/>
          <w:b w:val="false"/>
          <w:i/>
          <w:color w:val="000000"/>
          <w:sz w:val="20"/>
        </w:rPr>
        <w:t>Voice AI adoption driving enterprise modernization and $1m+ strategic customer wins</w:t>
      </w:r>
    </w:p>
    <w:tbl>
      <w:tblPr>
        <w:tblW w:w="10205" w:type="dxa"/>
        <w:jc w:val="left"/>
        <w:tblInd w:w="0" w:type="dxa"/>
        <w:tblLayout w:type="fixed"/>
        <w:tblCellMar>
          <w:top w:w="28" w:type="dxa"/>
          <w:left w:w="28" w:type="dxa"/>
          <w:bottom w:w="28" w:type="dxa"/>
          <w:right w:w="28" w:type="dxa"/>
        </w:tblCellMar>
      </w:tblPr>
      <w:tblGrid>
        <w:gridCol w:w="976"/>
        <w:gridCol w:w="857"/>
        <w:gridCol w:w="859"/>
        <w:gridCol w:w="109"/>
        <w:gridCol w:w="109"/>
        <w:gridCol w:w="109"/>
        <w:gridCol w:w="812"/>
        <w:gridCol w:w="131"/>
        <w:gridCol w:w="131"/>
        <w:gridCol w:w="252"/>
        <w:gridCol w:w="642"/>
        <w:gridCol w:w="324"/>
        <w:gridCol w:w="130"/>
        <w:gridCol w:w="130"/>
        <w:gridCol w:w="130"/>
        <w:gridCol w:w="252"/>
        <w:gridCol w:w="642"/>
        <w:gridCol w:w="324"/>
        <w:gridCol w:w="130"/>
        <w:gridCol w:w="130"/>
        <w:gridCol w:w="130"/>
        <w:gridCol w:w="252"/>
        <w:gridCol w:w="642"/>
        <w:gridCol w:w="324"/>
        <w:gridCol w:w="130"/>
        <w:gridCol w:w="130"/>
        <w:gridCol w:w="130"/>
        <w:gridCol w:w="252"/>
        <w:gridCol w:w="642"/>
        <w:gridCol w:w="394"/>
      </w:tblGrid>
      <w:tr>
        <w:trPr/>
        <w:tc>
          <w:tcPr>
            <w:tcW w:w="9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6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July 29, 2026</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w:t>
            </w:r>
          </w:p>
          <w:p>
            <w:pPr>
              <w:pStyle w:val="TableContents"/>
              <w:bidi w:val="0"/>
              <w:spacing w:lineRule="auto" w:line="288" w:before="0" w:after="0"/>
              <w:jc w:val="left"/>
              <w:rPr/>
            </w:pPr>
            <w:r>
              <w:rPr>
                <w:rFonts w:ascii="Times New Roman;serif" w:hAnsi="Times New Roman;serif"/>
                <w:b w:val="false"/>
                <w:color w:val="000000"/>
                <w:sz w:val="20"/>
              </w:rPr>
              <w:t xml:space="preserve">Bandwidth will host a conference call to discuss financial results for the second quarter ended June 30, 2026 on July 29, 2026. Details can be found below and on the investor section of its website at </w:t>
            </w:r>
            <w:r>
              <w:rPr>
                <w:rFonts w:ascii="Times New Roman;serif" w:hAnsi="Times New Roman;serif"/>
                <w:b w:val="false"/>
                <w:color w:val="0000FF"/>
                <w:sz w:val="20"/>
              </w:rPr>
              <w:t>https://investors.bandwidth.com</w:t>
            </w:r>
            <w:r>
              <w:rPr>
                <w:color w:val="000000"/>
              </w:rPr>
              <w:t xml:space="preserve"> </w:t>
            </w:r>
            <w:r>
              <w:rPr>
                <w:rFonts w:ascii="Times New Roman;serif" w:hAnsi="Times New Roman;serif"/>
                <w:b w:val="false"/>
                <w:color w:val="000000"/>
                <w:sz w:val="20"/>
              </w:rPr>
              <w:t>where a replay will also be available shortly following the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24"/>
            <w:tcBorders/>
            <w:tcMar>
              <w:top w:w="0" w:type="dxa"/>
              <w:left w:w="0" w:type="dxa"/>
              <w:bottom w:w="0" w:type="dxa"/>
              <w:right w:w="0" w:type="dxa"/>
            </w:tcMar>
            <w:vAlign w:val="center"/>
          </w:tcPr>
          <w:p>
            <w:pPr>
              <w:pStyle w:val="TableContents"/>
              <w:bidi w:val="0"/>
              <w:spacing w:lineRule="auto" w:line="288" w:before="0" w:after="180"/>
              <w:jc w:val="both"/>
              <w:rPr/>
            </w:pPr>
            <w:r>
              <w:rPr>
                <w:rFonts w:ascii="Times New Roman;serif" w:hAnsi="Times New Roman;serif"/>
                <w:b/>
                <w:color w:val="000000"/>
                <w:sz w:val="20"/>
              </w:rPr>
              <w:t>Raleigh, N.C.</w:t>
            </w:r>
            <w:r>
              <w:rPr>
                <w:color w:val="000000"/>
              </w:rPr>
              <w:t xml:space="preserve"> </w:t>
            </w:r>
            <w:r>
              <w:rPr>
                <w:rFonts w:ascii="Times New Roman;serif" w:hAnsi="Times New Roman;serif"/>
                <w:b w:val="false"/>
                <w:color w:val="000000"/>
                <w:sz w:val="20"/>
              </w:rPr>
              <w:t>- Bandwidth Inc. (NASDAQ: BAND), a leading global enterprise cloud communications company, today announced financial results for the second quarter ended June 30, 2026.</w:t>
            </w:r>
          </w:p>
          <w:p>
            <w:pPr>
              <w:pStyle w:val="TableContents"/>
              <w:bidi w:val="0"/>
              <w:spacing w:lineRule="auto" w:line="288" w:before="0" w:after="180"/>
              <w:jc w:val="both"/>
              <w:rPr>
                <w:color w:val="000000"/>
              </w:rPr>
            </w:pPr>
            <w:r>
              <w:rPr>
                <w:color w:val="000000"/>
              </w:rPr>
              <w:t>“</w:t>
            </w:r>
            <w:r>
              <w:rPr>
                <w:rFonts w:ascii="Times New Roman;serif" w:hAnsi="Times New Roman;serif"/>
                <w:b w:val="false"/>
                <w:color w:val="000000"/>
                <w:sz w:val="20"/>
              </w:rPr>
              <w:t>AI is reshaping how enterprises evaluate communications infrastructure, increasing demand for trusted, scalable platforms capable of supporting mission-critical AI interactions,” said David Morken, Bandwidth’s Co-Founder, Chief Executive Officer, and Chairman. “We are capitalizing on this shift to secure larger strategic customer wins across AI-native innovators, Global 2000 enterprises, and hyperscalers as organizations increasingly standardize on Bandwidth. As adoption of AI-enabled communications accelerates, we believe our global Communications Cloud, Maestro orchestration platform, and growing portfolio of trust capabilities position us to expand our leadership, capture a larger share of the AI communications stack, and create durable long-term shareholder value.”</w:t>
            </w:r>
          </w:p>
          <w:p>
            <w:pPr>
              <w:pStyle w:val="TableContents"/>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condensed consolidated financial highlights for the three and six months ended June 30, 2026 and 2025 ($ in millions, except per share amounts).</w:t>
            </w:r>
          </w:p>
        </w:tc>
      </w:tr>
      <w:tr>
        <w:trPr/>
        <w:tc>
          <w:tcPr>
            <w:tcW w:w="2692" w:type="dxa"/>
            <w:gridSpan w:val="3"/>
            <w:vMerge w:val="restart"/>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Conference Call Details</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July 29, 2026</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8:00 am ET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Domestic dial-in: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800-715-9871</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dial-in: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646-307-1963</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Replay information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audio replay of this conference call will be available through August 5, 2026 by dialing 855-669-9658 or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412-317-0088 for international callers, and entering passcode 7551038.</w:t>
            </w:r>
          </w:p>
          <w:p>
            <w:pPr>
              <w:pStyle w:val="TableContents"/>
              <w:bidi w:val="0"/>
              <w:spacing w:before="0" w:after="0"/>
              <w:jc w:val="left"/>
              <w:rPr/>
            </w:pPr>
            <w:r>
              <w:rPr/>
            </w:r>
          </w:p>
          <w:p>
            <w:pPr>
              <w:pStyle w:val="TableContents"/>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Investor Contact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Nils Erdmann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Bandwidth</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919-410-7499</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ir@bandwidth.com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Gross Margin </w:t>
            </w:r>
            <w:r>
              <w:rPr>
                <w:rFonts w:ascii="Times New Roman;serif" w:hAnsi="Times New Roman;serif"/>
                <w:b w:val="false"/>
                <w:color w:val="000000"/>
                <w:sz w:val="13"/>
              </w:rPr>
              <w:t>(1)</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net income </w:t>
            </w:r>
            <w:r>
              <w:rPr>
                <w:rFonts w:ascii="Times New Roman;serif" w:hAnsi="Times New Roman;serif"/>
                <w:b w:val="false"/>
                <w:color w:val="000000"/>
                <w:sz w:val="13"/>
              </w:rPr>
              <w:t>(1)</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diluted</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net income per Non-GAAP share </w:t>
            </w:r>
            <w:r>
              <w:rPr>
                <w:rFonts w:ascii="Times New Roman;serif" w:hAnsi="Times New Roman;serif"/>
                <w:b w:val="false"/>
                <w:color w:val="000000"/>
                <w:sz w:val="13"/>
              </w:rPr>
              <w:t>(1)</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Free cash flow </w:t>
            </w:r>
            <w:r>
              <w:rPr>
                <w:rFonts w:ascii="Times New Roman;serif" w:hAnsi="Times New Roman;serif"/>
                <w:b w:val="false"/>
                <w:color w:val="000000"/>
                <w:sz w:val="13"/>
              </w:rPr>
              <w:t>(1)</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24"/>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Additional information regarding the Non-GAAP financial measures discussed in this release, including an explanation of these measures and how each is calculated, is included below under the heading “Non-GAAP Financial Measures.” A reconciliation of GAAP to Non-GAAP financial measures has also been provided in the financial tables included below.</w:t>
            </w:r>
          </w:p>
          <w:p>
            <w:pPr>
              <w:pStyle w:val="TableContents"/>
              <w:bidi w:val="0"/>
              <w:spacing w:before="0" w:after="180"/>
              <w:jc w:val="left"/>
              <w:rPr/>
            </w:pPr>
            <w:r>
              <w:rPr/>
            </w:r>
          </w:p>
        </w:tc>
      </w:tr>
      <w:tr>
        <w:trPr/>
        <w:tc>
          <w:tcPr>
            <w:tcW w:w="26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24"/>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r>
              <w:rPr>
                <w:rFonts w:ascii="Times New Roman;serif" w:hAnsi="Times New Roman;serif"/>
                <w:b w:val="false"/>
                <w:color w:val="000000"/>
                <w:sz w:val="20"/>
              </w:rPr>
              <w:t>We delivered record quarterly results for Revenue and Adjusted EBITDA, which exceeded our expectations,” said Daryl Raiford, CFO of Bandwidth. “Our performance demonstrates the earnings power of our business model as strong customer demand across Voice and Messaging, combined with the structural advantages of our owned-and-operated global network, drove another quarter of margin expansion and profit growth. With growing visibility from recent enterprise customer wins, continued momentum in AI-enabled communications, and a strengthened balance sheet, we are again raising our full-year 2026 outlook for both revenue and Adjusted EBITDA.”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Second Quarter Customer Highlights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$1m+ customer wins and expansions in the second quarter included Maestro™ or AI services.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A growing healthcare system </w:t>
      </w:r>
      <w:r>
        <w:rPr>
          <w:rFonts w:ascii="Times New Roman;serif" w:hAnsi="Times New Roman;serif"/>
          <w:b w:val="false"/>
          <w:color w:val="000000"/>
          <w:sz w:val="20"/>
        </w:rPr>
        <w:t>operating hospitals and clinics across the Midwest selected Bandwidth's Communications Cloud and Maestro orchestration platform to modernize its legacy communications, enabling a future cloud contact center and AI services.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A leading European appliance care and warranty provider </w:t>
      </w:r>
      <w:r>
        <w:rPr>
          <w:rFonts w:ascii="Times New Roman;serif" w:hAnsi="Times New Roman;serif"/>
          <w:b w:val="false"/>
          <w:color w:val="000000"/>
          <w:sz w:val="20"/>
        </w:rPr>
        <w:t>selected Bandwidth to consolidate communications across multiple markets onto our global Communications Cloud, simplifying operations while creating a trusted foundation for AI-driven customer engagement.</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A global electronic brokerage serving investors in more than 200 countries </w:t>
      </w:r>
      <w:r>
        <w:rPr>
          <w:rFonts w:ascii="Times New Roman;serif" w:hAnsi="Times New Roman;serif"/>
          <w:b w:val="false"/>
          <w:color w:val="000000"/>
          <w:sz w:val="20"/>
        </w:rPr>
        <w:t>expanded its long-standing relationship with Bandwidth into global voice, unifying communications with a single trusted partner across highly regulated markets.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A long-standing global hyperscaler partner </w:t>
      </w:r>
      <w:r>
        <w:rPr>
          <w:rFonts w:ascii="Times New Roman;serif" w:hAnsi="Times New Roman;serif"/>
          <w:b w:val="false"/>
          <w:color w:val="000000"/>
          <w:sz w:val="20"/>
        </w:rPr>
        <w:t>significantly expanded its use of Bandwidth to support a key digital service internationally, reinforcing our role as the communications infrastructure that scales alongside leading AI and cloud platforms.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One of the largest text messaging platforms in the U.S.</w:t>
      </w:r>
      <w:r>
        <w:rPr>
          <w:rFonts w:ascii="Times New Roman;serif" w:hAnsi="Times New Roman;serif"/>
          <w:b w:val="false"/>
          <w:color w:val="000000"/>
          <w:sz w:val="20"/>
        </w:rPr>
        <w:t>, serving approximately 2,500 brands, expanded its relationship with Bandwidth by consolidating more than 95 percent of its messaging traffic onto our platform to improve scale, deliverability, and operational performance.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Bandwidth is providing guidance for its third quarter and full year 2026 as follows (in millions, except per share amounts) based on current indications for its business, which are subject to change.</w:t>
      </w:r>
    </w:p>
    <w:tbl>
      <w:tblPr>
        <w:tblW w:w="7030" w:type="dxa"/>
        <w:jc w:val="left"/>
        <w:tblInd w:w="0" w:type="dxa"/>
        <w:tblLayout w:type="fixed"/>
        <w:tblCellMar>
          <w:top w:w="28" w:type="dxa"/>
          <w:left w:w="28" w:type="dxa"/>
          <w:bottom w:w="28" w:type="dxa"/>
          <w:right w:w="28" w:type="dxa"/>
        </w:tblCellMar>
      </w:tblPr>
      <w:tblGrid>
        <w:gridCol w:w="991"/>
        <w:gridCol w:w="873"/>
        <w:gridCol w:w="881"/>
        <w:gridCol w:w="559"/>
        <w:gridCol w:w="559"/>
        <w:gridCol w:w="561"/>
        <w:gridCol w:w="109"/>
        <w:gridCol w:w="109"/>
        <w:gridCol w:w="109"/>
        <w:gridCol w:w="666"/>
        <w:gridCol w:w="666"/>
        <w:gridCol w:w="947"/>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3Q 2026 Guidance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Full Year 2026 Guidance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Revenue</w:t>
            </w:r>
          </w:p>
        </w:tc>
        <w:tc>
          <w:tcPr>
            <w:tcW w:w="1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$231 - $235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$900 - $910</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$32 - $34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$123 - $125</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Non-GAAP earnings per share </w:t>
            </w:r>
            <w:r>
              <w:rPr>
                <w:rFonts w:ascii="Times New Roman;serif" w:hAnsi="Times New Roman;serif"/>
                <w:b w:val="false"/>
                <w:color w:val="000000"/>
                <w:sz w:val="13"/>
              </w:rPr>
              <w:t>(1)</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$0.45 - $0.49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$1.71 - $1.79</w:t>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Assumes weighted average diluted share count of approximately 40.5 million in 3Q 2026 and weighted average diluted share count of approximately 39.0 million in full year 2026.</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Bandwidth has not reconciled its third quarter and full year 2026 guidance related to (i) Adjusted EBITDA to GAAP net income or loss, (ii) non-GAAP net earnings or loss to GAAP net earnings or loss or (iii) non-GAAP earnings or loss per share to GAAP earnings or loss per share, because stock-based compensation cannot be reasonably calculated or predicted at this time. Accordingly, a reconciliation is not available without unreasonable effort.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Upcoming Investor Conferences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B. Riley Securities' Consumer &amp; TMT Conference in New York, NY. </w:t>
      </w:r>
      <w:r>
        <w:rPr>
          <w:rFonts w:ascii="Times New Roman;serif" w:hAnsi="Times New Roman;serif"/>
          <w:b w:val="false"/>
          <w:color w:val="000000"/>
          <w:sz w:val="20"/>
        </w:rPr>
        <w:t>Investor meetings hosted with management on Thursday, September 10, 2026.</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Benchmark-StoneX Tech Conference in New York, NY. </w:t>
      </w:r>
      <w:r>
        <w:rPr>
          <w:rFonts w:ascii="Times New Roman;serif" w:hAnsi="Times New Roman;serif"/>
          <w:b w:val="false"/>
          <w:color w:val="000000"/>
          <w:sz w:val="20"/>
        </w:rPr>
        <w:t>Investor meetings hosted</w:t>
      </w:r>
      <w:r>
        <w:rPr>
          <w:color w:val="000000"/>
        </w:rPr>
        <w:t xml:space="preserve"> </w:t>
      </w:r>
      <w:r>
        <w:rPr>
          <w:rFonts w:ascii="Times New Roman;serif" w:hAnsi="Times New Roman;serif"/>
          <w:b w:val="false"/>
          <w:color w:val="000000"/>
          <w:sz w:val="20"/>
        </w:rPr>
        <w:t>with management on Thursday, September 10, 2026.</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Piper Sandler Growth Frontiers Conference in Nashville, TN.</w:t>
      </w:r>
      <w:r>
        <w:rPr>
          <w:color w:val="000000"/>
        </w:rPr>
        <w:t xml:space="preserve"> </w:t>
      </w:r>
      <w:r>
        <w:rPr>
          <w:rFonts w:ascii="Times New Roman;serif" w:hAnsi="Times New Roman;serif"/>
          <w:b w:val="false"/>
          <w:color w:val="000000"/>
          <w:sz w:val="20"/>
        </w:rPr>
        <w:t>Fireside chat with John Bell, Chief Product Officer on Tuesday, September 15, 2026 at 1:00 PM Central Time.</w:t>
      </w:r>
    </w:p>
    <w:p>
      <w:pPr>
        <w:pStyle w:val="TextBody"/>
        <w:bidi w:val="0"/>
        <w:spacing w:before="0" w:after="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About Bandwidth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Bandwidth Inc. (NASDAQ: BAND) is a global cloud communications company that helps enterprises deliver exceptional experiences through voice calling, text messaging and emergency services. Our solutions and our Communications Cloud, covering ~70 countries and 90 percent of global GDP, are trusted by all the leaders in unified communications and cloud contact centers–including Amazon Web Services (AWS), Cisco, Google, Microsoft, RingCentral, Zoom, Genesys and Five9–as well as Global 2000 enterprises and SaaS builders like Docusign, Uber and Yosi Health. As a founder of the cloud communications revolution, we are the first and only global Communications Platform-as-a-Service (CPaaS) to offer a unique combination of composable APIs, AI capabilities, owner-operated network and broad regulatory experience. Our award-winning support teams help businesses around the world transform their communications every day.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forward-looking statements. All statements contained in this press release other than statements of historical facts, including, without limitation, future financial and business performance for the quarter ending September 30, 2026 and year ending December 31, 2026, the success of our product offerings and our platform, and the value proposition of our products, are forward-looking statements. The words “anticipate,” “assume,” “believe,” “continue,” “estimate,” “expect,” “intend,” “guide,” “may,” “will” and similar expressions and their negatives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rapid growth and ability to sustain our revenue growth rate, competition in the markets in which we operate, market growth, our ability to innovate and manage our growth, our ability to successfully leverage the use of artificial intelligence in our business operations and in our service offerings, our ability to expand effectively into new markets, macroeconomic conditions both in the U.S. and globally, legal, reputational and financial risks which may result from ever-evolving cybersecurity threats, our ability to operate in compliance with applicable laws, as well as other risks and uncertainties set forth in the “Risk Factors” section of our latest Annual Report on Form 10-K filed with the Securities and Exchange Commission (the “SEC”) and any subsequent reports that we file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cannot guarantee future results, levels of activity, performance, achievements or events and circumstances reflected in the forward-looking statements will occur. We are under no obligation to update any of these forward-looking statements after the date of this press release to conform these statements to actual results or revised expectations, except as required by law. You should, therefore, not rely on these forward-looking statements as representing our views as of any date subsequent to the date of this press release.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which are prepared and presented in accordance with generally accepted accounting principles in the United States, or GAAP, we provide investors with certain Non-GAAP financial measures and other business metrics, which we believe are helpful to our investors. We use these Non-GAAP financial measures and other business metrics for financial and operational decision-making purposes and as a means to evaluate period-to-period comparisons. We believe that these Non-GAAP financial measures and other business metrics provide useful information about our operating results, enhance the overall understanding of past financial performance and future prospects and allow for greater transparency with respect to metrics used by our management in its financial and operational decision-making.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presentation of Non-GAAP financial information and other business metrics is not meant to be considered in isolation or as a substitute for the directly comparable financial measures prepared in accordance with GAAP. While our Non-GAAP financial measures and other business metrics are an important tool for financial and operational decision-making and for evaluating our own operating results over different periods of time, we urge investors to review the reconciliation of these financial measures to the comparable GAAP financial measures included below, and not to rely on any single financial measure to evaluate our business.</w:t>
      </w:r>
    </w:p>
    <w:p>
      <w:pPr>
        <w:pStyle w:val="TextBody"/>
        <w:bidi w:val="0"/>
        <w:spacing w:before="0" w:after="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define Non-GAAP gross profit as gross profit after adding back depreciation, amortization of acquired intangible assets related to acquisitions and stock-based compensation and related payroll taxes. We add back depreciation, amortization of acquired intangible assets related to acquisitions and stock-based compensation and related payroll taxes because we do not consider them indicative of our core operating performance. Their exclusion facilitates comparisons of our operating performance on a period-to-period basis. Therefore, we believe that showing gross margin, as adjusted to remove the impact of these expenses, is helpful to investors in assessing our gross profit and gross margin performance in a way that is similar to how management assesses our performance. We calculate Non-GAAP gross margin by dividing Non-GAAP gross profit by cloud communications revenue, which is revenue less pass-through messaging surcharge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define Non-GAAP net income (loss) as net income or loss adjusted for certain items affecting period to period comparability. Non-GAAP net income (loss) excludes stock-based compensation and related payroll taxes, amortization of acquired intangible assets related to acquisitions, amortization of debt discount and issuance costs for convertible debt, acquisition related expenses, impairment charges of intangibles assets, net cost associated with early lease terminations and leases without economic benefit, (gain) loss on sale of business, net (gain) loss on extinguishment of debt, gain on business interruption insurance recoveries, non-recurring items not indicative of ongoing operations and other, and estimated tax impact of above adjustments, net of valuation allowances.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or losses from continuing operations, adjusted to reflect the addition or elimination of certain statement of operations items including, but not limited to: income tax (benefit) provision, interest (income) expense, net, depreciation and amortization expense, acquisition related expenses, stock-based compensation and related payroll taxes, impairment of intangible assets, (gain) loss on sale of business, net cost associated with early lease terminations and leases without economic benefit, net (gain) loss on extinguishment of debt, gain on business interruption insurance recoveries, and non-recurring items not indicative of ongoing operations and other. We have presented Adjusted EBITDA and Adjusted EBITDA margin because they are key measures used by our management and board of directors to understand and evaluate our core operating performance and trends, generate future operating plans, and make strategic decisions regarding the allocation of capital. In particular, we believe that the exclusion of certain items in calculating Adjusted EBITDA and Adjusted EBITDA margin can produce a useful measure for period-to-period comparisons of our business. We calculate Adjusted EBITDA margin by dividing Adjusted EBITDA by cloud communications revenue, which is revenue less pass-through messaging surcharge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or used in operating activities less net cash used in the acquisition of property, plant and equipment and capitalized development costs for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decision-making. While a reconciliation of Non-GAAP guidance measures to corresponding GAAP measures is not available on a forward-looking basis as a result of the uncertainty regarding, and the potential variability of, many of these costs and expenses that we may incur in the future, we have provided a reconciliation of Non-GAAP financial measures and other business metrics to the nearest comparable GAAP measures in the accompanying financial statement tables included in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BANDWIDTH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564"/>
        <w:gridCol w:w="1317"/>
        <w:gridCol w:w="131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55"/>
      </w:tblGrid>
      <w:tr>
        <w:trPr/>
        <w:tc>
          <w:tcPr>
            <w:tcW w:w="156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used to compute 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33,225,729 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BANDWIDTH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7291" w:type="dxa"/>
        <w:jc w:val="center"/>
        <w:tblInd w:w="0" w:type="dxa"/>
        <w:tblLayout w:type="fixed"/>
        <w:tblCellMar>
          <w:top w:w="28" w:type="dxa"/>
          <w:left w:w="28" w:type="dxa"/>
          <w:bottom w:w="28" w:type="dxa"/>
          <w:right w:w="28" w:type="dxa"/>
        </w:tblCellMar>
      </w:tblPr>
      <w:tblGrid>
        <w:gridCol w:w="1405"/>
        <w:gridCol w:w="1239"/>
        <w:gridCol w:w="1255"/>
        <w:gridCol w:w="211"/>
        <w:gridCol w:w="976"/>
        <w:gridCol w:w="109"/>
        <w:gridCol w:w="109"/>
        <w:gridCol w:w="109"/>
        <w:gridCol w:w="109"/>
        <w:gridCol w:w="278"/>
        <w:gridCol w:w="1288"/>
        <w:gridCol w:w="203"/>
      </w:tblGrid>
      <w:tr>
        <w:trP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219,060 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174,251 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138,742 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356,772 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1,052,627 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convertible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154,067 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652,654 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and Class B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399,973 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1,052,627 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BANDWIDTH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8888" w:type="dxa"/>
        <w:jc w:val="left"/>
        <w:tblInd w:w="0" w:type="dxa"/>
        <w:tblLayout w:type="fixed"/>
        <w:tblCellMar>
          <w:top w:w="28" w:type="dxa"/>
          <w:left w:w="28" w:type="dxa"/>
          <w:bottom w:w="28" w:type="dxa"/>
          <w:right w:w="28" w:type="dxa"/>
        </w:tblCellMar>
      </w:tblPr>
      <w:tblGrid>
        <w:gridCol w:w="2243"/>
        <w:gridCol w:w="1968"/>
        <w:gridCol w:w="1983"/>
        <w:gridCol w:w="109"/>
        <w:gridCol w:w="196"/>
        <w:gridCol w:w="738"/>
        <w:gridCol w:w="109"/>
        <w:gridCol w:w="109"/>
        <w:gridCol w:w="109"/>
        <w:gridCol w:w="109"/>
        <w:gridCol w:w="196"/>
        <w:gridCol w:w="647"/>
        <w:gridCol w:w="109"/>
        <w:gridCol w:w="109"/>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reduction to the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 and other</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liability</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on line of credit</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line of credit</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convertible senior notes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for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equity awards withheld for tax liabilities and other</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BANDWIDTH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Gross Profit and Non-GAAP Gross Margin</w:t>
      </w:r>
    </w:p>
    <w:tbl>
      <w:tblPr>
        <w:tblW w:w="10205" w:type="dxa"/>
        <w:jc w:val="left"/>
        <w:tblInd w:w="0" w:type="dxa"/>
        <w:tblLayout w:type="fixed"/>
        <w:tblCellMar>
          <w:top w:w="28" w:type="dxa"/>
          <w:left w:w="28" w:type="dxa"/>
          <w:bottom w:w="28" w:type="dxa"/>
          <w:right w:w="28" w:type="dxa"/>
        </w:tblCellMar>
      </w:tblPr>
      <w:tblGrid>
        <w:gridCol w:w="1482"/>
        <w:gridCol w:w="1246"/>
        <w:gridCol w:w="1248"/>
        <w:gridCol w:w="211"/>
        <w:gridCol w:w="736"/>
        <w:gridCol w:w="301"/>
        <w:gridCol w:w="109"/>
        <w:gridCol w:w="109"/>
        <w:gridCol w:w="109"/>
        <w:gridCol w:w="211"/>
        <w:gridCol w:w="736"/>
        <w:gridCol w:w="301"/>
        <w:gridCol w:w="109"/>
        <w:gridCol w:w="109"/>
        <w:gridCol w:w="109"/>
        <w:gridCol w:w="211"/>
        <w:gridCol w:w="841"/>
        <w:gridCol w:w="301"/>
        <w:gridCol w:w="109"/>
        <w:gridCol w:w="109"/>
        <w:gridCol w:w="109"/>
        <w:gridCol w:w="211"/>
        <w:gridCol w:w="841"/>
        <w:gridCol w:w="347"/>
      </w:tblGrid>
      <w:tr>
        <w:trPr/>
        <w:tc>
          <w:tcPr>
            <w:tcW w:w="148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71,664 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143,176 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payroll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90,246</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79,396</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179,525</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158,008</w:t>
            </w:r>
            <w:r>
              <w:rPr>
                <w:color w:val="000000"/>
              </w:rPr>
              <w:t> </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Non-GAAP Gross Margin % </w:t>
            </w:r>
            <w:r>
              <w:rPr>
                <w:rFonts w:ascii="Times New Roman;serif" w:hAnsi="Times New Roman;serif"/>
                <w:b/>
                <w:color w:val="000000"/>
                <w:sz w:val="13"/>
              </w:rPr>
              <w:t>(1)</w:t>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0"/>
        <w:ind w:left="0" w:right="0" w:firstLine="72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Calculated by dividing Non-GAAP gross profit by cloud communications revenue of $152 million and $302 million for the three and six months ended June 30, 2026, respectively, and $136 million and $269 million for the three and six months ended June 30, 2025, respectively. </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BANDWIDTH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Net Income</w:t>
      </w:r>
    </w:p>
    <w:tbl>
      <w:tblPr>
        <w:tblW w:w="10205" w:type="dxa"/>
        <w:jc w:val="left"/>
        <w:tblInd w:w="0" w:type="dxa"/>
        <w:tblLayout w:type="fixed"/>
        <w:tblCellMar>
          <w:top w:w="28" w:type="dxa"/>
          <w:left w:w="28" w:type="dxa"/>
          <w:bottom w:w="28" w:type="dxa"/>
          <w:right w:w="28" w:type="dxa"/>
        </w:tblCellMar>
      </w:tblPr>
      <w:tblGrid>
        <w:gridCol w:w="1565"/>
        <w:gridCol w:w="1320"/>
        <w:gridCol w:w="1239"/>
        <w:gridCol w:w="244"/>
        <w:gridCol w:w="852"/>
        <w:gridCol w:w="112"/>
        <w:gridCol w:w="112"/>
        <w:gridCol w:w="112"/>
        <w:gridCol w:w="112"/>
        <w:gridCol w:w="244"/>
        <w:gridCol w:w="852"/>
        <w:gridCol w:w="112"/>
        <w:gridCol w:w="109"/>
        <w:gridCol w:w="109"/>
        <w:gridCol w:w="109"/>
        <w:gridCol w:w="244"/>
        <w:gridCol w:w="852"/>
        <w:gridCol w:w="109"/>
        <w:gridCol w:w="109"/>
        <w:gridCol w:w="109"/>
        <w:gridCol w:w="109"/>
        <w:gridCol w:w="244"/>
        <w:gridCol w:w="852"/>
        <w:gridCol w:w="109"/>
        <w:gridCol w:w="109"/>
        <w:gridCol w:w="156"/>
      </w:tblGrid>
      <w:tr>
        <w:trPr/>
        <w:tc>
          <w:tcPr>
            <w:tcW w:w="156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payroll taxes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 for convertible debt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Non-recurring items not indicative of ongoing operations and other </w:t>
            </w:r>
            <w:r>
              <w:rPr>
                <w:rFonts w:ascii="Times New Roman;serif" w:hAnsi="Times New Roman;serif"/>
                <w:b w:val="false"/>
                <w:color w:val="000000"/>
                <w:sz w:val="13"/>
              </w:rPr>
              <w:t>(1)</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tax effects of adjustments </w:t>
            </w:r>
            <w:r>
              <w:rPr>
                <w:rFonts w:ascii="Times New Roman;serif" w:hAnsi="Times New Roman;serif"/>
                <w:b w:val="false"/>
                <w:color w:val="000000"/>
                <w:sz w:val="13"/>
              </w:rPr>
              <w:t>(2)</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13,557</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11,830</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on Convertible Notes </w:t>
            </w:r>
            <w:r>
              <w:rPr>
                <w:rFonts w:ascii="Times New Roman;serif" w:hAnsi="Times New Roman;serif"/>
                <w:b w:val="false"/>
                <w:color w:val="000000"/>
                <w:sz w:val="13"/>
              </w:rPr>
              <w:t>(3)</w:t>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used to compute Non-GAAP diluted net income per share</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13,682</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12,068</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 per Non-GAAP share</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Weighted average number of shares outstanding</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32,129,631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29,889,020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31,906,992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29,438,230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33,490,677</w:t>
            </w:r>
            <w:r>
              <w:rPr>
                <w:color w:val="000000"/>
              </w:rPr>
              <w:t>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29,889,020</w:t>
            </w:r>
            <w:r>
              <w:rPr>
                <w:color w:val="000000"/>
              </w:rPr>
              <w:t>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33,225,729</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29,438,230</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basic shares</w:t>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32,129,631</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29,889,020</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31,906,992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29,438,230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conversion</w:t>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1,361,046 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1,478,379 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1,318,737 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RSUs outstanding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3,515,243 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diluted shares</w:t>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37,041,913</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31,382,387</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36,454,675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31,507,821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60"/>
        <w:ind w:left="0" w:right="0" w:firstLine="72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Non-recurring items not indicative of ongoing operations and other include (i) $(0.8) million and $(1.4) million of foreign exchange charges primarily related to balance sheet revaluations during the three and six months ended June 30, 2026, respectively, (ii) less than $0.1 million and $0.2 million of losses on disposals of property, plant and equipment during the three and six months ended June 30, 2026, respectively, (iii) $0.2 million of losses on disposals of property, plant and equipment during the three and six months ended June 30, 2025, (iv) $0.1 million of losses on sale of business during the three and six months ended June 30, 2025, and (v) $0.5 million of nonrecurring litigation expense during the six months ended June 30, 2025.</w:t>
      </w:r>
    </w:p>
    <w:p>
      <w:pPr>
        <w:pStyle w:val="TextBody"/>
        <w:bidi w:val="0"/>
        <w:spacing w:lineRule="auto" w:line="288" w:before="0" w:after="60"/>
        <w:ind w:left="0" w:right="0" w:firstLine="72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The estimated tax-effect of adjustments is determined by recalculating the tax provision on a Non-GAAP basis. The Non-GAAP effective income tax rate was 20.1% and 13.9% for the six months ended June 30, 2026 and 2025, respectively. We analyze the Non-GAAP valuation allowance position on a quarterly basis. As of June 30, 2026, we have no valuation allowance against our deferred tax assets for Non-GAAP purposes.</w:t>
      </w:r>
    </w:p>
    <w:p>
      <w:pPr>
        <w:pStyle w:val="TextBody"/>
        <w:bidi w:val="0"/>
        <w:spacing w:lineRule="auto" w:line="288" w:before="0" w:after="180"/>
        <w:ind w:left="0" w:right="0" w:firstLine="72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Non-GAAP net income is increased for interest expense as part of the calculation for diluted Non-GAAP earnings per share.</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BANDWIDTH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w:t>
      </w:r>
    </w:p>
    <w:tbl>
      <w:tblPr>
        <w:tblW w:w="10205" w:type="dxa"/>
        <w:jc w:val="left"/>
        <w:tblInd w:w="0" w:type="dxa"/>
        <w:tblLayout w:type="fixed"/>
        <w:tblCellMar>
          <w:top w:w="28" w:type="dxa"/>
          <w:left w:w="28" w:type="dxa"/>
          <w:bottom w:w="28" w:type="dxa"/>
          <w:right w:w="28" w:type="dxa"/>
        </w:tblCellMar>
      </w:tblPr>
      <w:tblGrid>
        <w:gridCol w:w="1845"/>
        <w:gridCol w:w="1500"/>
        <w:gridCol w:w="1513"/>
        <w:gridCol w:w="218"/>
        <w:gridCol w:w="765"/>
        <w:gridCol w:w="112"/>
        <w:gridCol w:w="112"/>
        <w:gridCol w:w="112"/>
        <w:gridCol w:w="112"/>
        <w:gridCol w:w="218"/>
        <w:gridCol w:w="765"/>
        <w:gridCol w:w="112"/>
        <w:gridCol w:w="109"/>
        <w:gridCol w:w="109"/>
        <w:gridCol w:w="109"/>
        <w:gridCol w:w="211"/>
        <w:gridCol w:w="736"/>
        <w:gridCol w:w="109"/>
        <w:gridCol w:w="109"/>
        <w:gridCol w:w="109"/>
        <w:gridCol w:w="109"/>
        <w:gridCol w:w="211"/>
        <w:gridCol w:w="736"/>
        <w:gridCol w:w="164"/>
      </w:tblGrid>
      <w:tr>
        <w:trPr/>
        <w:tc>
          <w:tcPr>
            <w:tcW w:w="184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5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payroll taxes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5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5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Non-recurring items not indicative of ongoing operations and other </w:t>
            </w:r>
            <w:r>
              <w:rPr>
                <w:rFonts w:ascii="Times New Roman;serif" w:hAnsi="Times New Roman;serif"/>
                <w:b w:val="false"/>
                <w:color w:val="000000"/>
                <w:sz w:val="13"/>
              </w:rPr>
              <w:t>(1)</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27,768</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21,890</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53,739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44,103</w:t>
            </w:r>
            <w:r>
              <w:rPr>
                <w:color w:val="000000"/>
              </w:rPr>
              <w:t>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180"/>
        <w:ind w:left="0" w:right="0" w:firstLine="72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Non-recurring items not indicative of ongoing operations and other include (i) $(0.8) million and $(1.4) million of foreign exchange charges primarily related to balance sheet revaluations during the three and six months ended June 30, 2026, respectively, (ii) less than $0.1 million and $0.2 million of losses on disposals of property, plant and equipment during the three and six months ended June 30, 2026, respectively, (iii) $0.2 million of losses on disposals of property, plant and equipment during the three and six months ended June 30, 2025, (iv) $0.1 million of losses on sale of business during the three and six months ended June 30, 2025, and (v) $0.5 million of nonrecurring litigation expense during the six months ended June 30, 2025.</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Free Cash Flow</w:t>
      </w:r>
    </w:p>
    <w:tbl>
      <w:tblPr>
        <w:tblW w:w="9150" w:type="dxa"/>
        <w:jc w:val="left"/>
        <w:tblInd w:w="0" w:type="dxa"/>
        <w:tblLayout w:type="fixed"/>
        <w:tblCellMar>
          <w:top w:w="28" w:type="dxa"/>
          <w:left w:w="28" w:type="dxa"/>
          <w:bottom w:w="28" w:type="dxa"/>
          <w:right w:w="28" w:type="dxa"/>
        </w:tblCellMar>
      </w:tblPr>
      <w:tblGrid>
        <w:gridCol w:w="1368"/>
        <w:gridCol w:w="1204"/>
        <w:gridCol w:w="1207"/>
        <w:gridCol w:w="221"/>
        <w:gridCol w:w="774"/>
        <w:gridCol w:w="114"/>
        <w:gridCol w:w="114"/>
        <w:gridCol w:w="114"/>
        <w:gridCol w:w="114"/>
        <w:gridCol w:w="221"/>
        <w:gridCol w:w="774"/>
        <w:gridCol w:w="114"/>
        <w:gridCol w:w="109"/>
        <w:gridCol w:w="109"/>
        <w:gridCol w:w="109"/>
        <w:gridCol w:w="211"/>
        <w:gridCol w:w="736"/>
        <w:gridCol w:w="109"/>
        <w:gridCol w:w="109"/>
        <w:gridCol w:w="109"/>
        <w:gridCol w:w="109"/>
        <w:gridCol w:w="211"/>
        <w:gridCol w:w="73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cash used in investing in capital assets </w:t>
            </w:r>
            <w:r>
              <w:rPr>
                <w:rFonts w:ascii="Times New Roman;serif" w:hAnsi="Times New Roman;serif"/>
                <w:b w:val="false"/>
                <w:color w:val="000000"/>
                <w:sz w:val="13"/>
              </w:rPr>
              <w:t>(1)</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23,739</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25,631</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23,157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12,336</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180"/>
        <w:ind w:left="0" w:right="0" w:firstLine="72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the acquisition cost of property, plant and equipment and capitalized development costs for software for internal use.</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Bandwidth recognized total stock-based compensation expense as follows:</w:t>
      </w:r>
    </w:p>
    <w:tbl>
      <w:tblPr>
        <w:tblW w:w="7653" w:type="dxa"/>
        <w:jc w:val="left"/>
        <w:tblInd w:w="0" w:type="dxa"/>
        <w:tblLayout w:type="fixed"/>
        <w:tblCellMar>
          <w:top w:w="28" w:type="dxa"/>
          <w:left w:w="28" w:type="dxa"/>
          <w:bottom w:w="28" w:type="dxa"/>
          <w:right w:w="28" w:type="dxa"/>
        </w:tblCellMar>
      </w:tblPr>
      <w:tblGrid>
        <w:gridCol w:w="835"/>
        <w:gridCol w:w="736"/>
        <w:gridCol w:w="739"/>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5084</Words>
  <Characters>28989</Characters>
  <CharactersWithSpaces>33446</CharactersWithSpaces>
  <Paragraphs>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