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93826.xml.htm"/>
      <w:bookmarkStart w:id="1" w:name="kswkform4_17882938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Bailey Brian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CARMICHAEL INVESTMENT PARTNERS LLC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4725 PIEDMONT ROW DRIVE,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Bandwidth Inc.</w:t>
              </w:r>
            </w:hyperlink>
            <w:r>
              <w:rPr/>
              <w:t xml:space="preserve"> [ </w:t>
            </w:r>
            <w:r>
              <w:rPr>
                <w:rFonts w:ascii="Times;serif" w:hAnsi="Times;serif"/>
                <w:color w:val="0000FF"/>
                <w:sz w:val="24"/>
                <w:shd w:fill="FFFFFF" w:val="clear"/>
              </w:rPr>
              <w:t>BAND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619"/>
        <w:gridCol w:w="1167"/>
        <w:gridCol w:w="1000"/>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75,422</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(1)(2)(3)</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3,333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Carmichael Bandwidth LLC is the managing member of each of Carmichael Partners, LLC ("CP"); Carmichael Investment Partners II, LLC ("CP II"); and Carmichael Investment Partners III, LLC ("CP III"). Brian D. Bailey and Kevin J. Martin are the managing partners of Carmichael Bandwidth LLC and CP and share voting and dispositive power with respect to the shares held by CP, CP II and CP III. The Reporting Person disclaims beneficial ownership of the securities reported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Following the transactions reported herein, consists of 8,750 shares of Class A Common Stock held by CP and 66,672 shares of Class A Common Stock held of record by Brian D. Bailey.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Pursuant to an agreement between Mr. Bailey and CP, CP is entitled to all economic benefit with respect to 7,234 shares held by Mr. Bailey.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Bandwidth Inc.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November 28, 2025, the Reporting Person was granted 13,333 Restricted Stock Units, which vest in four equal quarterly installments beginning on February 28,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Leah Webb, Attorney-in-Fact for Brian D. Bailey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5505" TargetMode="External"/><Relationship Id="rId5" Type="http://schemas.openxmlformats.org/officeDocument/2006/relationships/hyperlink" Target="http://www.sec.gov/cgi-bin/browse-edgar?action=getcompany&amp;CIK=000151441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783</Words>
  <Characters>4169</Characters>
  <CharactersWithSpaces>4867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